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2B" w:rsidRPr="00234F2B" w:rsidRDefault="00234F2B" w:rsidP="00234F2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proofErr w:type="gramStart"/>
      <w:r w:rsidRPr="00234F2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Info </w:t>
      </w:r>
      <w:proofErr w:type="spellStart"/>
      <w:r w:rsidRPr="00234F2B">
        <w:rPr>
          <w:rFonts w:ascii="Arial" w:eastAsia="Times New Roman" w:hAnsi="Arial" w:cs="Arial"/>
          <w:b/>
          <w:bCs/>
          <w:color w:val="000000"/>
          <w:sz w:val="27"/>
          <w:szCs w:val="27"/>
        </w:rPr>
        <w:t>Kesihatan</w:t>
      </w:r>
      <w:proofErr w:type="spellEnd"/>
      <w:r w:rsidRPr="00234F2B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234F2B" w:rsidRPr="00234F2B" w:rsidTr="00234F2B">
        <w:tc>
          <w:tcPr>
            <w:tcW w:w="0" w:type="auto"/>
            <w:hideMark/>
          </w:tcPr>
          <w:p w:rsidR="00234F2B" w:rsidRPr="00234F2B" w:rsidRDefault="00234F2B" w:rsidP="00234F2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Apakah</w:t>
            </w:r>
            <w:proofErr w:type="spellEnd"/>
            <w:r w:rsidRPr="00234F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?</w:t>
            </w:r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    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adalah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tisu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cair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yang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terdiri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daripada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dua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bahagian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di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mana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bahan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cecair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yang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disebut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> </w:t>
            </w:r>
            <w:r w:rsidRPr="00234F2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plasma</w:t>
            </w:r>
            <w:r w:rsidRPr="00234F2B">
              <w:rPr>
                <w:rFonts w:ascii="Arial" w:eastAsia="Times New Roman" w:hAnsi="Arial" w:cs="Arial"/>
                <w:i/>
                <w:iCs/>
                <w:sz w:val="20"/>
              </w:rPr>
              <w:t> </w:t>
            </w:r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yang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tedapat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unusr-unsur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terapung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iaitu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sel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Dalam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tubuh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manusia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mengandungi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isipadu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iaitu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satu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per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duabelas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berat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badan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iaitu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kira-kira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5 liter.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Pada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waktu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sihat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isipadu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adalah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tetap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sehingga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batas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tertentu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Ia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diatur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oleh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tekanan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ostomik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dalam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pembuluh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dalam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tisu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Komposisi</w:t>
            </w:r>
            <w:proofErr w:type="spellEnd"/>
            <w:r w:rsidRPr="00234F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  </w:t>
            </w:r>
          </w:p>
          <w:tbl>
            <w:tblPr>
              <w:tblW w:w="5000" w:type="pct"/>
              <w:tblCellSpacing w:w="0" w:type="dxa"/>
              <w:tblBorders>
                <w:top w:val="single" w:sz="12" w:space="0" w:color="008080"/>
                <w:left w:val="single" w:sz="12" w:space="0" w:color="008080"/>
                <w:bottom w:val="single" w:sz="12" w:space="0" w:color="008080"/>
                <w:right w:val="single" w:sz="12" w:space="0" w:color="00808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59"/>
              <w:gridCol w:w="7301"/>
            </w:tblGrid>
            <w:tr w:rsidR="00234F2B" w:rsidRPr="00234F2B">
              <w:trPr>
                <w:tblCellSpacing w:w="0" w:type="dxa"/>
              </w:trPr>
              <w:tc>
                <w:tcPr>
                  <w:tcW w:w="1100" w:type="pct"/>
                  <w:tcBorders>
                    <w:top w:val="single" w:sz="6" w:space="0" w:color="00FFFF"/>
                    <w:left w:val="nil"/>
                    <w:bottom w:val="nil"/>
                    <w:right w:val="nil"/>
                  </w:tcBorders>
                  <w:shd w:val="clear" w:color="auto" w:fill="000080"/>
                  <w:vAlign w:val="center"/>
                  <w:hideMark/>
                </w:tcPr>
                <w:p w:rsidR="00234F2B" w:rsidRPr="00234F2B" w:rsidRDefault="00234F2B" w:rsidP="00234F2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234F2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</w:rPr>
                    <w:t>Air</w:t>
                  </w:r>
                </w:p>
              </w:tc>
              <w:tc>
                <w:tcPr>
                  <w:tcW w:w="3900" w:type="pct"/>
                  <w:tcBorders>
                    <w:top w:val="single" w:sz="6" w:space="0" w:color="00FFFF"/>
                    <w:left w:val="nil"/>
                    <w:bottom w:val="nil"/>
                    <w:right w:val="nil"/>
                  </w:tcBorders>
                  <w:shd w:val="clear" w:color="auto" w:fill="008080"/>
                  <w:vAlign w:val="center"/>
                  <w:hideMark/>
                </w:tcPr>
                <w:p w:rsidR="00234F2B" w:rsidRPr="00234F2B" w:rsidRDefault="00234F2B" w:rsidP="00234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34F2B">
                    <w:rPr>
                      <w:rFonts w:ascii="Trebuchet MS" w:eastAsia="Times New Roman" w:hAnsi="Trebuchet MS" w:cs="Times New Roman"/>
                      <w:color w:val="FFFFFF"/>
                      <w:sz w:val="20"/>
                      <w:szCs w:val="20"/>
                    </w:rPr>
                    <w:t>: 91.0 %</w:t>
                  </w:r>
                </w:p>
              </w:tc>
            </w:tr>
            <w:tr w:rsidR="00234F2B" w:rsidRPr="00234F2B">
              <w:trPr>
                <w:tblCellSpacing w:w="0" w:type="dxa"/>
              </w:trPr>
              <w:tc>
                <w:tcPr>
                  <w:tcW w:w="1100" w:type="pct"/>
                  <w:tcBorders>
                    <w:top w:val="single" w:sz="6" w:space="0" w:color="00FFFF"/>
                    <w:left w:val="nil"/>
                    <w:bottom w:val="nil"/>
                    <w:right w:val="nil"/>
                  </w:tcBorders>
                  <w:shd w:val="clear" w:color="auto" w:fill="000080"/>
                  <w:vAlign w:val="center"/>
                  <w:hideMark/>
                </w:tcPr>
                <w:p w:rsidR="00234F2B" w:rsidRPr="00234F2B" w:rsidRDefault="00234F2B" w:rsidP="00234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234F2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</w:rPr>
                    <w:t>Protein</w:t>
                  </w:r>
                </w:p>
              </w:tc>
              <w:tc>
                <w:tcPr>
                  <w:tcW w:w="3900" w:type="pct"/>
                  <w:tcBorders>
                    <w:top w:val="single" w:sz="6" w:space="0" w:color="00FFFF"/>
                    <w:left w:val="nil"/>
                    <w:bottom w:val="nil"/>
                    <w:right w:val="nil"/>
                  </w:tcBorders>
                  <w:shd w:val="clear" w:color="auto" w:fill="008080"/>
                  <w:vAlign w:val="center"/>
                  <w:hideMark/>
                </w:tcPr>
                <w:p w:rsidR="00234F2B" w:rsidRPr="00234F2B" w:rsidRDefault="00234F2B" w:rsidP="00234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34F2B">
                    <w:rPr>
                      <w:rFonts w:ascii="Trebuchet MS" w:eastAsia="Times New Roman" w:hAnsi="Trebuchet MS" w:cs="Times New Roman"/>
                      <w:color w:val="FFFFFF"/>
                      <w:sz w:val="20"/>
                      <w:szCs w:val="20"/>
                    </w:rPr>
                    <w:t>: 8.0 %</w:t>
                  </w:r>
                  <w:r w:rsidRPr="00234F2B">
                    <w:rPr>
                      <w:rFonts w:ascii="Trebuchet MS" w:eastAsia="Times New Roman" w:hAnsi="Trebuchet MS" w:cs="Times New Roman"/>
                      <w:color w:val="FFFFFF"/>
                      <w:sz w:val="20"/>
                    </w:rPr>
                    <w:t> </w:t>
                  </w:r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 xml:space="preserve">(Albumin, globulin, </w:t>
                  </w:r>
                  <w:proofErr w:type="spellStart"/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>protrombin</w:t>
                  </w:r>
                  <w:proofErr w:type="spellEnd"/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>dan</w:t>
                  </w:r>
                  <w:proofErr w:type="spellEnd"/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 xml:space="preserve"> fibrinogen)</w:t>
                  </w:r>
                </w:p>
              </w:tc>
            </w:tr>
            <w:tr w:rsidR="00234F2B" w:rsidRPr="00234F2B">
              <w:trPr>
                <w:tblCellSpacing w:w="0" w:type="dxa"/>
              </w:trPr>
              <w:tc>
                <w:tcPr>
                  <w:tcW w:w="1100" w:type="pct"/>
                  <w:tcBorders>
                    <w:top w:val="single" w:sz="6" w:space="0" w:color="00FFFF"/>
                    <w:left w:val="nil"/>
                    <w:bottom w:val="nil"/>
                    <w:right w:val="nil"/>
                  </w:tcBorders>
                  <w:shd w:val="clear" w:color="auto" w:fill="000080"/>
                  <w:vAlign w:val="center"/>
                  <w:hideMark/>
                </w:tcPr>
                <w:p w:rsidR="00234F2B" w:rsidRPr="00234F2B" w:rsidRDefault="00234F2B" w:rsidP="00234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234F2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</w:rPr>
                    <w:t>Mineral</w:t>
                  </w:r>
                </w:p>
              </w:tc>
              <w:tc>
                <w:tcPr>
                  <w:tcW w:w="3900" w:type="pct"/>
                  <w:tcBorders>
                    <w:top w:val="single" w:sz="6" w:space="0" w:color="00FFFF"/>
                    <w:left w:val="nil"/>
                    <w:bottom w:val="nil"/>
                    <w:right w:val="nil"/>
                  </w:tcBorders>
                  <w:shd w:val="clear" w:color="auto" w:fill="008080"/>
                  <w:vAlign w:val="center"/>
                  <w:hideMark/>
                </w:tcPr>
                <w:p w:rsidR="00234F2B" w:rsidRPr="00234F2B" w:rsidRDefault="00234F2B" w:rsidP="00234F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34F2B">
                    <w:rPr>
                      <w:rFonts w:ascii="Trebuchet MS" w:eastAsia="Times New Roman" w:hAnsi="Trebuchet MS" w:cs="Times New Roman"/>
                      <w:color w:val="FFFFFF"/>
                      <w:sz w:val="20"/>
                      <w:szCs w:val="20"/>
                    </w:rPr>
                    <w:t>: 0.9 %</w:t>
                  </w:r>
                  <w:r w:rsidRPr="00234F2B">
                    <w:rPr>
                      <w:rFonts w:ascii="Trebuchet MS" w:eastAsia="Times New Roman" w:hAnsi="Trebuchet MS" w:cs="Times New Roman"/>
                      <w:color w:val="FFFFFF"/>
                      <w:sz w:val="20"/>
                    </w:rPr>
                    <w:t> </w:t>
                  </w:r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>(</w:t>
                  </w:r>
                  <w:proofErr w:type="spellStart"/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>Natrium</w:t>
                  </w:r>
                  <w:proofErr w:type="spellEnd"/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>klorida</w:t>
                  </w:r>
                  <w:proofErr w:type="spellEnd"/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>natrium</w:t>
                  </w:r>
                  <w:proofErr w:type="spellEnd"/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>bikorbonat</w:t>
                  </w:r>
                  <w:proofErr w:type="spellEnd"/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>garam</w:t>
                  </w:r>
                  <w:proofErr w:type="spellEnd"/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>kalsium</w:t>
                  </w:r>
                  <w:proofErr w:type="spellEnd"/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>, magnesium</w:t>
                  </w:r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</w:rPr>
                    <w:t> </w:t>
                  </w:r>
                  <w:proofErr w:type="spellStart"/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>besi</w:t>
                  </w:r>
                  <w:proofErr w:type="spellEnd"/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>dan</w:t>
                  </w:r>
                  <w:proofErr w:type="spellEnd"/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>sebagainya</w:t>
                  </w:r>
                  <w:proofErr w:type="spellEnd"/>
                  <w:r w:rsidRPr="00234F2B">
                    <w:rPr>
                      <w:rFonts w:ascii="Trebuchet MS" w:eastAsia="Times New Roman" w:hAnsi="Trebuchet MS" w:cs="Times New Roman"/>
                      <w:i/>
                      <w:iCs/>
                      <w:color w:val="FFFFFF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34F2B" w:rsidRPr="00234F2B" w:rsidRDefault="00234F2B" w:rsidP="00234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F2B" w:rsidRPr="00234F2B" w:rsidTr="00234F2B">
        <w:tc>
          <w:tcPr>
            <w:tcW w:w="0" w:type="auto"/>
            <w:hideMark/>
          </w:tcPr>
          <w:p w:rsidR="00234F2B" w:rsidRPr="00234F2B" w:rsidRDefault="00234F2B" w:rsidP="00234F2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34F2B">
              <w:rPr>
                <w:rFonts w:ascii="Arial" w:eastAsia="Times New Roman" w:hAnsi="Arial" w:cs="Arial"/>
                <w:sz w:val="20"/>
              </w:rPr>
              <w:t xml:space="preserve">     -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Selebihnya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terdiri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daripada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sejumlah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bahan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organik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seperti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glukosa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,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lemak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, urea,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asid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urik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,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kreatinin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,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kolestrol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dan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asid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amino. Plasma pula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mengandungi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Gas (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oksigen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dan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karbon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dioksida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),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rembesan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hormon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dan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atigen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>.</w:t>
            </w:r>
          </w:p>
          <w:p w:rsidR="00234F2B" w:rsidRDefault="00234F2B" w:rsidP="00234F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Arial" w:eastAsia="Times New Roman" w:hAnsi="Arial" w:cs="Arial"/>
                <w:b/>
                <w:bCs/>
                <w:sz w:val="20"/>
              </w:rPr>
              <w:t>Jenis</w:t>
            </w:r>
            <w:proofErr w:type="spellEnd"/>
            <w:r w:rsidRPr="00234F2B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b/>
                <w:bCs/>
                <w:sz w:val="20"/>
              </w:rPr>
              <w:t>Darah</w:t>
            </w:r>
            <w:proofErr w:type="spellEnd"/>
            <w:r w:rsidRPr="00234F2B">
              <w:rPr>
                <w:rFonts w:ascii="Arial" w:eastAsia="Times New Roman" w:hAnsi="Arial" w:cs="Arial"/>
                <w:b/>
                <w:bCs/>
                <w:sz w:val="20"/>
              </w:rPr>
              <w:t>.</w:t>
            </w:r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Secara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umumnya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,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menurut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sistem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> </w:t>
            </w:r>
            <w:r w:rsidRPr="00234F2B">
              <w:rPr>
                <w:rFonts w:ascii="Arial" w:eastAsia="Times New Roman" w:hAnsi="Arial" w:cs="Arial"/>
                <w:b/>
                <w:bCs/>
                <w:sz w:val="20"/>
              </w:rPr>
              <w:t>ABO </w:t>
            </w:r>
            <w:r w:rsidRPr="00234F2B">
              <w:rPr>
                <w:rFonts w:ascii="Arial" w:eastAsia="Times New Roman" w:hAnsi="Arial" w:cs="Arial"/>
                <w:sz w:val="20"/>
              </w:rPr>
              <w:t xml:space="preserve">Landsteiner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darah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manusia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terbahagi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kepada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 4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kumpulan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 xml:space="preserve">, </w:t>
            </w:r>
            <w:proofErr w:type="spellStart"/>
            <w:r w:rsidRPr="00234F2B">
              <w:rPr>
                <w:rFonts w:ascii="Arial" w:eastAsia="Times New Roman" w:hAnsi="Arial" w:cs="Arial"/>
                <w:sz w:val="20"/>
              </w:rPr>
              <w:t>iaitu</w:t>
            </w:r>
            <w:proofErr w:type="spellEnd"/>
            <w:r w:rsidRPr="00234F2B">
              <w:rPr>
                <w:rFonts w:ascii="Arial" w:eastAsia="Times New Roman" w:hAnsi="Arial" w:cs="Arial"/>
                <w:sz w:val="20"/>
              </w:rPr>
              <w:t>:-</w:t>
            </w:r>
          </w:p>
          <w:tbl>
            <w:tblPr>
              <w:tblW w:w="1650" w:type="pct"/>
              <w:tblCellSpacing w:w="0" w:type="dxa"/>
              <w:tblBorders>
                <w:top w:val="single" w:sz="12" w:space="0" w:color="008080"/>
                <w:left w:val="single" w:sz="12" w:space="0" w:color="008080"/>
                <w:bottom w:val="single" w:sz="12" w:space="0" w:color="008080"/>
                <w:right w:val="single" w:sz="12" w:space="0" w:color="00808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44"/>
              <w:gridCol w:w="1545"/>
            </w:tblGrid>
            <w:tr w:rsidR="00234F2B" w:rsidRPr="00234F2B">
              <w:trPr>
                <w:tblCellSpacing w:w="0" w:type="dxa"/>
              </w:trPr>
              <w:tc>
                <w:tcPr>
                  <w:tcW w:w="2500" w:type="pct"/>
                  <w:tcBorders>
                    <w:top w:val="single" w:sz="6" w:space="0" w:color="00FFFF"/>
                    <w:left w:val="nil"/>
                    <w:bottom w:val="nil"/>
                    <w:right w:val="nil"/>
                  </w:tcBorders>
                  <w:shd w:val="clear" w:color="auto" w:fill="000080"/>
                  <w:vAlign w:val="center"/>
                  <w:hideMark/>
                </w:tcPr>
                <w:p w:rsidR="00234F2B" w:rsidRPr="00234F2B" w:rsidRDefault="00234F2B" w:rsidP="00234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234F2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</w:rPr>
                    <w:t>Kumpulan AB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FFFF"/>
                    <w:left w:val="nil"/>
                    <w:bottom w:val="nil"/>
                    <w:right w:val="nil"/>
                  </w:tcBorders>
                  <w:shd w:val="clear" w:color="auto" w:fill="008080"/>
                  <w:vAlign w:val="center"/>
                  <w:hideMark/>
                </w:tcPr>
                <w:p w:rsidR="00234F2B" w:rsidRPr="00234F2B" w:rsidRDefault="00234F2B" w:rsidP="00234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34F2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</w:rPr>
                    <w:t>3.0 %</w:t>
                  </w:r>
                </w:p>
              </w:tc>
            </w:tr>
            <w:tr w:rsidR="00234F2B" w:rsidRPr="00234F2B">
              <w:trPr>
                <w:tblCellSpacing w:w="0" w:type="dxa"/>
              </w:trPr>
              <w:tc>
                <w:tcPr>
                  <w:tcW w:w="2500" w:type="pct"/>
                  <w:tcBorders>
                    <w:top w:val="single" w:sz="6" w:space="0" w:color="00FFFF"/>
                    <w:left w:val="nil"/>
                    <w:bottom w:val="nil"/>
                    <w:right w:val="nil"/>
                  </w:tcBorders>
                  <w:shd w:val="clear" w:color="auto" w:fill="000080"/>
                  <w:vAlign w:val="center"/>
                  <w:hideMark/>
                </w:tcPr>
                <w:p w:rsidR="00234F2B" w:rsidRPr="00234F2B" w:rsidRDefault="00234F2B" w:rsidP="00234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234F2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</w:rPr>
                    <w:t>Kumpulan A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FFFF"/>
                    <w:left w:val="nil"/>
                    <w:bottom w:val="nil"/>
                    <w:right w:val="nil"/>
                  </w:tcBorders>
                  <w:shd w:val="clear" w:color="auto" w:fill="008080"/>
                  <w:vAlign w:val="center"/>
                  <w:hideMark/>
                </w:tcPr>
                <w:p w:rsidR="00234F2B" w:rsidRPr="00234F2B" w:rsidRDefault="00234F2B" w:rsidP="00234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34F2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</w:rPr>
                    <w:t>42.0 %</w:t>
                  </w:r>
                </w:p>
              </w:tc>
            </w:tr>
            <w:tr w:rsidR="00234F2B" w:rsidRPr="00234F2B">
              <w:trPr>
                <w:tblCellSpacing w:w="0" w:type="dxa"/>
              </w:trPr>
              <w:tc>
                <w:tcPr>
                  <w:tcW w:w="2500" w:type="pct"/>
                  <w:tcBorders>
                    <w:top w:val="single" w:sz="6" w:space="0" w:color="00FFFF"/>
                    <w:left w:val="nil"/>
                    <w:bottom w:val="nil"/>
                    <w:right w:val="nil"/>
                  </w:tcBorders>
                  <w:shd w:val="clear" w:color="auto" w:fill="000080"/>
                  <w:vAlign w:val="center"/>
                  <w:hideMark/>
                </w:tcPr>
                <w:p w:rsidR="00234F2B" w:rsidRPr="00234F2B" w:rsidRDefault="00234F2B" w:rsidP="00234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234F2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</w:rPr>
                    <w:t>Kumpulan B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FFFF"/>
                    <w:left w:val="nil"/>
                    <w:bottom w:val="nil"/>
                    <w:right w:val="nil"/>
                  </w:tcBorders>
                  <w:shd w:val="clear" w:color="auto" w:fill="008080"/>
                  <w:vAlign w:val="center"/>
                  <w:hideMark/>
                </w:tcPr>
                <w:p w:rsidR="00234F2B" w:rsidRPr="00234F2B" w:rsidRDefault="00234F2B" w:rsidP="00234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34F2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</w:rPr>
                    <w:t>8.5 %</w:t>
                  </w:r>
                </w:p>
              </w:tc>
            </w:tr>
            <w:tr w:rsidR="00234F2B" w:rsidRPr="00234F2B">
              <w:trPr>
                <w:tblCellSpacing w:w="0" w:type="dxa"/>
              </w:trPr>
              <w:tc>
                <w:tcPr>
                  <w:tcW w:w="2500" w:type="pct"/>
                  <w:tcBorders>
                    <w:top w:val="single" w:sz="6" w:space="0" w:color="00FFFF"/>
                    <w:left w:val="nil"/>
                    <w:bottom w:val="nil"/>
                    <w:right w:val="nil"/>
                  </w:tcBorders>
                  <w:shd w:val="clear" w:color="auto" w:fill="000080"/>
                  <w:vAlign w:val="center"/>
                  <w:hideMark/>
                </w:tcPr>
                <w:p w:rsidR="00234F2B" w:rsidRPr="00234F2B" w:rsidRDefault="00234F2B" w:rsidP="00234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234F2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</w:rPr>
                    <w:t>Kumpulan O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FFFF"/>
                    <w:left w:val="nil"/>
                    <w:bottom w:val="nil"/>
                    <w:right w:val="nil"/>
                  </w:tcBorders>
                  <w:shd w:val="clear" w:color="auto" w:fill="008080"/>
                  <w:vAlign w:val="center"/>
                  <w:hideMark/>
                </w:tcPr>
                <w:p w:rsidR="00234F2B" w:rsidRPr="00234F2B" w:rsidRDefault="00234F2B" w:rsidP="00234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r w:rsidRPr="00234F2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</w:rPr>
                    <w:t xml:space="preserve">46.5 % </w:t>
                  </w:r>
                  <w:proofErr w:type="spellStart"/>
                  <w:r w:rsidRPr="00234F2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</w:rPr>
                    <w:t>jumlah</w:t>
                  </w:r>
                  <w:proofErr w:type="spellEnd"/>
                </w:p>
              </w:tc>
            </w:tr>
          </w:tbl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    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Bagi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manusia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yang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terdiri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daripada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kumpulan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</w:rPr>
              <w:t> </w:t>
            </w:r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O</w:t>
            </w:r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adalah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bersifat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universal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kerana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ia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boleh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digunakan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atau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didermakan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kumpulan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yang lain.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Berdasarkan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kajian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jumlah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norma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atau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jumlah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sel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setiap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mililiter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padu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adalah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kira-kira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:-</w:t>
            </w:r>
          </w:p>
          <w:tbl>
            <w:tblPr>
              <w:tblW w:w="1800" w:type="pct"/>
              <w:tblCellSpacing w:w="0" w:type="dxa"/>
              <w:tblBorders>
                <w:top w:val="single" w:sz="12" w:space="0" w:color="008080"/>
                <w:left w:val="single" w:sz="12" w:space="0" w:color="008080"/>
                <w:bottom w:val="single" w:sz="12" w:space="0" w:color="008080"/>
                <w:right w:val="single" w:sz="12" w:space="0" w:color="00808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20"/>
              <w:gridCol w:w="1550"/>
            </w:tblGrid>
            <w:tr w:rsidR="00234F2B" w:rsidRPr="00234F2B">
              <w:trPr>
                <w:tblCellSpacing w:w="0" w:type="dxa"/>
              </w:trPr>
              <w:tc>
                <w:tcPr>
                  <w:tcW w:w="2700" w:type="pct"/>
                  <w:tcBorders>
                    <w:top w:val="single" w:sz="6" w:space="0" w:color="00FFFF"/>
                    <w:left w:val="nil"/>
                    <w:bottom w:val="nil"/>
                    <w:right w:val="nil"/>
                  </w:tcBorders>
                  <w:shd w:val="clear" w:color="auto" w:fill="000080"/>
                  <w:vAlign w:val="center"/>
                  <w:hideMark/>
                </w:tcPr>
                <w:p w:rsidR="00234F2B" w:rsidRPr="00234F2B" w:rsidRDefault="00234F2B" w:rsidP="00234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proofErr w:type="spellStart"/>
                  <w:r w:rsidRPr="00234F2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</w:rPr>
                    <w:t>Sel</w:t>
                  </w:r>
                  <w:proofErr w:type="spellEnd"/>
                  <w:r w:rsidRPr="00234F2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4F2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</w:rPr>
                    <w:t>Darah</w:t>
                  </w:r>
                  <w:proofErr w:type="spellEnd"/>
                  <w:r w:rsidRPr="00234F2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4F2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</w:rPr>
                    <w:t>Merah</w:t>
                  </w:r>
                  <w:proofErr w:type="spellEnd"/>
                </w:p>
              </w:tc>
              <w:tc>
                <w:tcPr>
                  <w:tcW w:w="2300" w:type="pct"/>
                  <w:tcBorders>
                    <w:top w:val="single" w:sz="6" w:space="0" w:color="00FFFF"/>
                    <w:left w:val="nil"/>
                    <w:bottom w:val="nil"/>
                    <w:right w:val="nil"/>
                  </w:tcBorders>
                  <w:shd w:val="clear" w:color="auto" w:fill="008080"/>
                  <w:vAlign w:val="center"/>
                  <w:hideMark/>
                </w:tcPr>
                <w:p w:rsidR="00234F2B" w:rsidRPr="00234F2B" w:rsidRDefault="00234F2B" w:rsidP="00234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proofErr w:type="spellStart"/>
                  <w:r w:rsidRPr="00234F2B">
                    <w:rPr>
                      <w:rFonts w:ascii="Trebuchet MS" w:eastAsia="Times New Roman" w:hAnsi="Trebuchet MS" w:cs="Times New Roman"/>
                      <w:color w:val="FFFFFF"/>
                      <w:sz w:val="20"/>
                      <w:szCs w:val="20"/>
                    </w:rPr>
                    <w:t>Purata</w:t>
                  </w:r>
                  <w:proofErr w:type="spellEnd"/>
                  <w:r w:rsidRPr="00234F2B">
                    <w:rPr>
                      <w:rFonts w:ascii="Trebuchet MS" w:eastAsia="Times New Roman" w:hAnsi="Trebuchet MS" w:cs="Times New Roman"/>
                      <w:color w:val="FFFFFF"/>
                      <w:sz w:val="20"/>
                      <w:szCs w:val="20"/>
                    </w:rPr>
                    <w:t xml:space="preserve"> 5,000,00</w:t>
                  </w:r>
                </w:p>
              </w:tc>
            </w:tr>
            <w:tr w:rsidR="00234F2B" w:rsidRPr="00234F2B">
              <w:trPr>
                <w:tblCellSpacing w:w="0" w:type="dxa"/>
              </w:trPr>
              <w:tc>
                <w:tcPr>
                  <w:tcW w:w="2700" w:type="pct"/>
                  <w:tcBorders>
                    <w:top w:val="single" w:sz="6" w:space="0" w:color="00FFFF"/>
                    <w:left w:val="nil"/>
                    <w:bottom w:val="nil"/>
                    <w:right w:val="nil"/>
                  </w:tcBorders>
                  <w:shd w:val="clear" w:color="auto" w:fill="000080"/>
                  <w:vAlign w:val="center"/>
                  <w:hideMark/>
                </w:tcPr>
                <w:p w:rsidR="00234F2B" w:rsidRPr="00234F2B" w:rsidRDefault="00234F2B" w:rsidP="00234F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proofErr w:type="spellStart"/>
                  <w:r w:rsidRPr="00234F2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</w:rPr>
                    <w:t>Sel</w:t>
                  </w:r>
                  <w:proofErr w:type="spellEnd"/>
                  <w:r w:rsidRPr="00234F2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4F2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</w:rPr>
                    <w:t>Darah</w:t>
                  </w:r>
                  <w:proofErr w:type="spellEnd"/>
                  <w:r w:rsidRPr="00234F2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4F2B">
                    <w:rPr>
                      <w:rFonts w:ascii="Trebuchet MS" w:eastAsia="Times New Roman" w:hAnsi="Trebuchet MS" w:cs="Times New Roman"/>
                      <w:b/>
                      <w:bCs/>
                      <w:color w:val="FFFFFF"/>
                      <w:sz w:val="20"/>
                      <w:szCs w:val="20"/>
                    </w:rPr>
                    <w:t>Putih</w:t>
                  </w:r>
                  <w:proofErr w:type="spellEnd"/>
                </w:p>
              </w:tc>
              <w:tc>
                <w:tcPr>
                  <w:tcW w:w="2300" w:type="pct"/>
                  <w:tcBorders>
                    <w:top w:val="single" w:sz="6" w:space="0" w:color="00FFFF"/>
                    <w:left w:val="nil"/>
                    <w:bottom w:val="nil"/>
                    <w:right w:val="nil"/>
                  </w:tcBorders>
                  <w:shd w:val="clear" w:color="auto" w:fill="008080"/>
                  <w:vAlign w:val="center"/>
                  <w:hideMark/>
                </w:tcPr>
                <w:p w:rsidR="00234F2B" w:rsidRPr="00234F2B" w:rsidRDefault="00234F2B" w:rsidP="00234F2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</w:pPr>
                  <w:proofErr w:type="spellStart"/>
                  <w:r w:rsidRPr="00234F2B">
                    <w:rPr>
                      <w:rFonts w:ascii="Trebuchet MS" w:eastAsia="Times New Roman" w:hAnsi="Trebuchet MS" w:cs="Times New Roman"/>
                      <w:color w:val="FFFFFF"/>
                      <w:sz w:val="20"/>
                      <w:szCs w:val="20"/>
                    </w:rPr>
                    <w:t>Purata</w:t>
                  </w:r>
                  <w:proofErr w:type="spellEnd"/>
                  <w:r w:rsidRPr="00234F2B">
                    <w:rPr>
                      <w:rFonts w:ascii="Trebuchet MS" w:eastAsia="Times New Roman" w:hAnsi="Trebuchet MS" w:cs="Times New Roman"/>
                      <w:color w:val="FFFFFF"/>
                      <w:sz w:val="20"/>
                      <w:szCs w:val="20"/>
                    </w:rPr>
                    <w:t xml:space="preserve"> 8,000</w:t>
                  </w:r>
                </w:p>
              </w:tc>
            </w:tr>
          </w:tbl>
          <w:p w:rsid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  <w:p w:rsid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  <w:p w:rsid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  <w:p w:rsid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  <w:p w:rsid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  <w:p w:rsid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lastRenderedPageBreak/>
              <w:t>Ringkasan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Fungsi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.</w:t>
            </w:r>
          </w:p>
          <w:p w:rsidR="00234F2B" w:rsidRPr="00234F2B" w:rsidRDefault="00234F2B" w:rsidP="00234F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Bertindak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sebagai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sistem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pengangkutan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tubuh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menghantar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semua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bahan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kimia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oksigen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nutrien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khasiat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) yang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diperlukan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untuk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tubuh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supaya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fungsi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normalnya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dapat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dipenuhi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menyingkirkan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karbon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dioksida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serta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hasil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buangan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yang lain.</w:t>
            </w:r>
          </w:p>
          <w:p w:rsidR="00234F2B" w:rsidRPr="00234F2B" w:rsidRDefault="00234F2B" w:rsidP="00234F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Sel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merah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menghantar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oksigen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ke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tisu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menyingkirkan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sebahagian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karbon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dioksida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</w:p>
          <w:p w:rsidR="00234F2B" w:rsidRPr="00234F2B" w:rsidRDefault="00234F2B" w:rsidP="00234F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Sel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putih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menyediakan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banyak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bahan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perlindungan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kerana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tindakan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fogositotik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oleh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beberapa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sel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dapa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melindungi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tunbuh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sebarang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serangan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bakteria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</w:p>
          <w:p w:rsidR="00234F2B" w:rsidRPr="00234F2B" w:rsidRDefault="00234F2B" w:rsidP="00234F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Rembesan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dalaman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dalaman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hormon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enzim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dihantarkan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organ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ke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organ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dengan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perantaraan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</w:p>
          <w:p w:rsidR="00234F2B" w:rsidRPr="00234F2B" w:rsidRDefault="00234F2B" w:rsidP="00234F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Plasma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berfungsi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mengagihkan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protein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untuk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pembentukkan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tisu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menyegarkan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cecair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tisu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kerana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melalui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cecair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ini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semua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sel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tubuh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menerima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makanannya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merupakan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kenderaan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untuk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mengangkut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bahan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buangan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ke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pelbagai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organ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rembesan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untuk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dibuang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>"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>Toksin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yang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>menyerap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>ke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>dalam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>merupakan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>faktor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>utama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>kepada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>pelbagai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>jenis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>penyakit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>atau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>sakit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>pada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>tubuh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>badan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>manusia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</w:rPr>
              <w:t>...."</w:t>
            </w:r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Mengikut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konsep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teori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penyembuhan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semulajadi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bahawa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faktor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utama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yang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menyebabkan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organ-organ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tubuh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mengidap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pelbagai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jenis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penyakit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ialah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kerana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toksin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atau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racun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dalam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Hakikatnya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jenis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atau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nama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sesuatu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penyakit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yang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dialami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adalah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ditentukan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oleh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kerosakkan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yang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disebabkan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oleh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toksin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tersebut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Apakah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Toksin</w:t>
            </w:r>
            <w:proofErr w:type="spellEnd"/>
            <w:proofErr w:type="gram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?.</w:t>
            </w:r>
            <w:proofErr w:type="gramEnd"/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Toksin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dalam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tubuh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manusia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terjadi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akibat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pencemaran.Antaranya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ialah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pencemaran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makanan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akibat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penggunaan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bahan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kimia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secara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berleluasa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seperti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racun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perosak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racun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serangga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baja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kimia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untuk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aktiviti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pertanian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Kesihatan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menjadi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lebih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apabila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manusia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mengambil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makanan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yang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mengandungi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bahan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pengawet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perasa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tiruan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bahan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tambahan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sebagainya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merupakan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punca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utama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terjadi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toksin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dalam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Inilah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sebabnya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terjadi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pelbagai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penyakit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seperti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tumor,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kanser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migrain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sebagainya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Fakta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daripada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pelbagai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kes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penyakit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mendapati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bahawa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hampir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90%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punca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penyakit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adalah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disebabkan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oleh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toksin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Di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dalam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sistem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fisiologi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tubuh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apabila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seseorang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itu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sakit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sedang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berusaha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untuk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menyingkirkan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sisa-sisa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bunagan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mukus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toksin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yang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menghalang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fungsi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tubuh.Toksin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yang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berada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dalam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saluran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bawa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ke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pelbagai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bahagian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organ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merosakkannya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Kesan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Kemudarat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Toksin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Kepada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Tubuh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</w:rPr>
              <w:t> </w:t>
            </w:r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?</w:t>
            </w:r>
            <w:proofErr w:type="gramEnd"/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Hakikatnya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pengambilan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makanan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terlalu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berasid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seperti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daging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makanan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diperhalus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seperti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nasi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roti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gula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manisan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makanan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goreng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berminyak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protein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berlebihan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lain-lain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adalah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faktor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yang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menyumbang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kepada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masalah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kesihatan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Di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samping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makanan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yang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mengandungi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bahan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kimia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seperti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pengawet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pewarna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perasa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tiruan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antibiotik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racun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perosak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lain-lain.</w:t>
            </w:r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Jika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terlalu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berasid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serta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berlaku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proses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penapaian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dalam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usus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meningkatkan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kandungan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toksin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dalam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keta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Toksin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tersebut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diserap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melekat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dalam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yang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menyebabkan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terjadinya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pelbagai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masalah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kesihatan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atau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penyakit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Antara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penyakit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yang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diakibatkan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oleh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tindakbalas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toksin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dalam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ialah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:-</w:t>
            </w:r>
          </w:p>
          <w:p w:rsid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  <w:p w:rsid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lastRenderedPageBreak/>
              <w:t>Penyakit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Kulit</w:t>
            </w:r>
            <w:proofErr w:type="spellEnd"/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Penyakit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kulit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terjadi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apabila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toksin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dalam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cuba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keluar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melalui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kulit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Pengumpulan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toksin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dalam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kulit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mengakibatkan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penyakit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seperti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jerawat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furunkel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lain-lain.</w:t>
            </w:r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Tumor</w:t>
            </w:r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Tumor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berpunca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daripada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bahan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buangan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bertoksin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yang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berkumpul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dipelbagai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tisu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Demam</w:t>
            </w:r>
            <w:proofErr w:type="spellEnd"/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Demam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adalah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proses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semulajadi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untuk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membersihkan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diri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sendiri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Apabila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sel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putih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menentang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toksin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dalam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badan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Kadar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metabolisme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semakin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cepat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mengakibatkan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tubuh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menjadi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demam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Penyakit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Jantung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Tekanan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Tinggi</w:t>
            </w:r>
            <w:proofErr w:type="spellEnd"/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Toksin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yang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melekatkan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dalam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menjejaskan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kelancaran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perjalanan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Ia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menyebabkan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jantung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bekerja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lebih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kuat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untuk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melancarkan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perjalanan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yang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melalui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saluran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yang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tersumbat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Ia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mengakibatkan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pembesaran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jantung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sementara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tekanan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ke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atas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saluran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tersumbat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mengakibatkan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tekanan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tinggi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Di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samping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buah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pinggang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sistem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endoktrin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dalam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usaha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membersihkan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toksin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akanmerembes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pelbagai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jenis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kimia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yang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menyebab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terjadinya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tekanan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tinggi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Alergi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Asma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Pundi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hempudu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Karang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Pengerasan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Saluran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Darah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Sakit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Sendi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Sengal-Sengal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Tulang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Sembelit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Perut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Kembung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Barah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Payudara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Kemerosotan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Daya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Seksual</w:t>
            </w:r>
            <w:proofErr w:type="spellEnd"/>
            <w:r w:rsidRPr="00234F2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.</w:t>
            </w:r>
          </w:p>
          <w:p w:rsidR="00234F2B" w:rsidRPr="00234F2B" w:rsidRDefault="00234F2B" w:rsidP="00234F2B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Oleh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itu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langkah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awalan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untuk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menyembuhkan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penyakit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ialah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dengan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menyingkirkan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toksim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tidak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semata-semata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mengawal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sebarang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penyakit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dengan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ubat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sahaja</w:t>
            </w:r>
            <w:proofErr w:type="spellEnd"/>
            <w:r w:rsidRPr="00234F2B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</w:p>
        </w:tc>
      </w:tr>
    </w:tbl>
    <w:p w:rsidR="00000000" w:rsidRDefault="00234F2B"/>
    <w:p w:rsidR="00234F2B" w:rsidRDefault="00234F2B"/>
    <w:p w:rsidR="00234F2B" w:rsidRDefault="00234F2B">
      <w:proofErr w:type="spellStart"/>
      <w:r>
        <w:t>Sumber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http://www.sabah.com.my/usahatbilang/info.htm</w:t>
        </w:r>
      </w:hyperlink>
    </w:p>
    <w:sectPr w:rsidR="00234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232FD"/>
    <w:multiLevelType w:val="multilevel"/>
    <w:tmpl w:val="E75C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34F2B"/>
    <w:rsid w:val="0023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4F2B"/>
  </w:style>
  <w:style w:type="character" w:styleId="Emphasis">
    <w:name w:val="Emphasis"/>
    <w:basedOn w:val="DefaultParagraphFont"/>
    <w:uiPriority w:val="20"/>
    <w:qFormat/>
    <w:rsid w:val="00234F2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34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bah.com.my/usahatbilang/inf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2012-03-31T13:40:00Z</dcterms:created>
  <dcterms:modified xsi:type="dcterms:W3CDTF">2012-03-31T13:41:00Z</dcterms:modified>
</cp:coreProperties>
</file>